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3825"/>
        <w:gridCol w:w="1665"/>
        <w:gridCol w:w="3420"/>
      </w:tblGrid>
      <w:tr w:rsidR="00D423D8" w:rsidRPr="004D6766" w14:paraId="3C69FB35" w14:textId="77777777" w:rsidTr="00717AB7">
        <w:trPr>
          <w:trHeight w:val="375"/>
        </w:trPr>
        <w:tc>
          <w:tcPr>
            <w:tcW w:w="1710" w:type="dxa"/>
            <w:vAlign w:val="center"/>
          </w:tcPr>
          <w:p w14:paraId="3C69FB31" w14:textId="77777777" w:rsidR="00D423D8" w:rsidRPr="004D6766" w:rsidRDefault="00071FEB" w:rsidP="00D50872">
            <w:pPr>
              <w:spacing w:after="0"/>
              <w:rPr>
                <w:rFonts w:cstheme="minorHAnsi"/>
                <w:b/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Sub-nota</w:t>
            </w:r>
            <w:r w:rsidR="00D423D8" w:rsidRPr="004D6766">
              <w:rPr>
                <w:rFonts w:cstheme="minorHAnsi"/>
                <w:b/>
                <w:lang w:val="pt-BR"/>
              </w:rPr>
              <w:t>:</w:t>
            </w:r>
          </w:p>
        </w:tc>
        <w:tc>
          <w:tcPr>
            <w:tcW w:w="3825" w:type="dxa"/>
            <w:vAlign w:val="center"/>
          </w:tcPr>
          <w:p w14:paraId="3C69FB32" w14:textId="77777777" w:rsidR="00D423D8" w:rsidRPr="004D6766" w:rsidRDefault="005A17AD" w:rsidP="00696730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  <w:lang w:val="pt-BR"/>
              </w:rPr>
              <w:t>ASPV</w:t>
            </w:r>
          </w:p>
        </w:tc>
        <w:tc>
          <w:tcPr>
            <w:tcW w:w="1665" w:type="dxa"/>
            <w:vAlign w:val="center"/>
          </w:tcPr>
          <w:p w14:paraId="3C69FB33" w14:textId="77777777" w:rsidR="00D423D8" w:rsidRPr="004D6766" w:rsidRDefault="00071FEB" w:rsidP="004328EF">
            <w:pPr>
              <w:spacing w:after="0"/>
              <w:rPr>
                <w:rFonts w:cstheme="minorHAnsi"/>
                <w:b/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Indicador</w:t>
            </w:r>
            <w:r w:rsidR="00D423D8" w:rsidRPr="004D6766">
              <w:rPr>
                <w:rFonts w:cstheme="minorHAnsi"/>
                <w:b/>
                <w:lang w:val="pt-BR"/>
              </w:rPr>
              <w:t>:</w:t>
            </w:r>
          </w:p>
        </w:tc>
        <w:tc>
          <w:tcPr>
            <w:tcW w:w="3420" w:type="dxa"/>
            <w:vAlign w:val="center"/>
          </w:tcPr>
          <w:p w14:paraId="3C69FB34" w14:textId="77777777" w:rsidR="00D423D8" w:rsidRPr="004D6766" w:rsidRDefault="005A17AD" w:rsidP="005A17AD">
            <w:pPr>
              <w:spacing w:after="0"/>
              <w:rPr>
                <w:rFonts w:cstheme="minorHAnsi"/>
                <w:lang w:val="pt-BR"/>
              </w:rPr>
            </w:pPr>
            <w:r>
              <w:rPr>
                <w:rFonts w:cstheme="minorHAnsi"/>
              </w:rPr>
              <w:t>AAS</w:t>
            </w:r>
            <w:r w:rsidR="00071FEB">
              <w:rPr>
                <w:rFonts w:cstheme="minorHAnsi"/>
              </w:rPr>
              <w:t xml:space="preserve"> (</w:t>
            </w:r>
            <w:r>
              <w:rPr>
                <w:rFonts w:cstheme="minorHAnsi"/>
              </w:rPr>
              <w:t>Assistência à Saúde</w:t>
            </w:r>
            <w:r w:rsidR="00071FEB">
              <w:rPr>
                <w:rFonts w:cstheme="minorHAnsi"/>
              </w:rPr>
              <w:t>)</w:t>
            </w:r>
          </w:p>
        </w:tc>
      </w:tr>
    </w:tbl>
    <w:p w14:paraId="3C69FB36" w14:textId="77777777" w:rsidR="005D250E" w:rsidRPr="008E058C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5D250E" w:rsidRPr="0032669D" w14:paraId="3C69FB38" w14:textId="77777777" w:rsidTr="00582349">
        <w:trPr>
          <w:trHeight w:val="242"/>
        </w:trPr>
        <w:tc>
          <w:tcPr>
            <w:tcW w:w="10620" w:type="dxa"/>
          </w:tcPr>
          <w:p w14:paraId="3C69FB37" w14:textId="77777777" w:rsidR="005D250E" w:rsidRPr="00142D33" w:rsidRDefault="00CD38D5" w:rsidP="00ED31D2">
            <w:pPr>
              <w:spacing w:after="0"/>
              <w:rPr>
                <w:rFonts w:cstheme="minorHAnsi"/>
                <w:lang w:val="pt-BR"/>
              </w:rPr>
            </w:pPr>
            <w:r w:rsidRPr="002952A5">
              <w:rPr>
                <w:rFonts w:cstheme="minorHAnsi"/>
                <w:b/>
                <w:lang w:val="pt-BR"/>
              </w:rPr>
              <w:t>Objetivo:</w:t>
            </w:r>
            <w:r w:rsidR="000D4094">
              <w:rPr>
                <w:rFonts w:cstheme="minorHAnsi"/>
                <w:lang w:val="pt-BR"/>
              </w:rPr>
              <w:t xml:space="preserve"> Avaliação do desempenho da Concessionária nos aspectos relacionados à ressocialização e serviços assistenciais, segurança e condições básicas, e por fim, monitoramento</w:t>
            </w:r>
            <w:r w:rsidR="0075347B">
              <w:rPr>
                <w:lang w:val="pt-BR"/>
              </w:rPr>
              <w:t>.</w:t>
            </w:r>
          </w:p>
        </w:tc>
      </w:tr>
      <w:tr w:rsidR="003965CF" w:rsidRPr="0028510C" w14:paraId="3C69FB3A" w14:textId="77777777" w:rsidTr="00637B64">
        <w:trPr>
          <w:trHeight w:val="159"/>
        </w:trPr>
        <w:tc>
          <w:tcPr>
            <w:tcW w:w="10620" w:type="dxa"/>
            <w:vAlign w:val="center"/>
          </w:tcPr>
          <w:p w14:paraId="3C69FB39" w14:textId="77777777" w:rsidR="003965CF" w:rsidRPr="003965CF" w:rsidRDefault="008B3501" w:rsidP="008B3501">
            <w:pPr>
              <w:spacing w:after="0"/>
              <w:jc w:val="center"/>
              <w:rPr>
                <w:lang w:val="pt-BR"/>
              </w:rPr>
            </w:pPr>
            <w:r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8B3501" w:rsidRPr="0032669D" w14:paraId="3C69FB52" w14:textId="77777777" w:rsidTr="0032669D">
        <w:trPr>
          <w:trHeight w:val="620"/>
        </w:trPr>
        <w:tc>
          <w:tcPr>
            <w:tcW w:w="10620" w:type="dxa"/>
          </w:tcPr>
          <w:p w14:paraId="3C69FB3B" w14:textId="221C8674" w:rsidR="00637B64" w:rsidRPr="007F1EE1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3C69FB3C" w14:textId="77777777" w:rsidR="00637B64" w:rsidRPr="007F1EE1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>
              <w:rPr>
                <w:sz w:val="20"/>
                <w:lang w:val="pt-BR"/>
              </w:rPr>
              <w:t>.</w:t>
            </w:r>
          </w:p>
          <w:p w14:paraId="3C69FB3D" w14:textId="77777777" w:rsidR="00637B64" w:rsidRPr="007F1EE1" w:rsidRDefault="00637B64" w:rsidP="00637B64">
            <w:pPr>
              <w:spacing w:before="20" w:after="0"/>
              <w:rPr>
                <w:sz w:val="20"/>
                <w:lang w:val="pt-BR"/>
              </w:rPr>
            </w:pPr>
            <w:bookmarkStart w:id="0" w:name="_GoBack"/>
            <w:bookmarkEnd w:id="0"/>
          </w:p>
          <w:p w14:paraId="3C69FB3E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3C69FB3F" w14:textId="04C49703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Formulário de verificação </w:t>
            </w:r>
            <w:r w:rsidR="0032669D">
              <w:rPr>
                <w:sz w:val="20"/>
                <w:lang w:val="pt-BR"/>
              </w:rPr>
              <w:t>FV ID AAS</w:t>
            </w:r>
            <w:r>
              <w:rPr>
                <w:sz w:val="20"/>
                <w:lang w:val="pt-BR"/>
              </w:rPr>
              <w:t>.</w:t>
            </w:r>
          </w:p>
          <w:p w14:paraId="3C69FB40" w14:textId="3F842223" w:rsidR="00FA6AAB" w:rsidRDefault="00FA6AAB" w:rsidP="00FA6AAB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Planilha </w:t>
            </w:r>
            <w:r w:rsidR="0032669D">
              <w:rPr>
                <w:sz w:val="20"/>
                <w:lang w:val="pt-BR"/>
              </w:rPr>
              <w:t>PL Compilação VI</w:t>
            </w:r>
            <w:r>
              <w:rPr>
                <w:sz w:val="20"/>
                <w:lang w:val="pt-BR"/>
              </w:rPr>
              <w:t>.</w:t>
            </w:r>
          </w:p>
          <w:p w14:paraId="3C69FB41" w14:textId="77777777" w:rsidR="00637B64" w:rsidRDefault="00637B64" w:rsidP="00637B6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3C69FB42" w14:textId="77777777" w:rsidR="00637B64" w:rsidRDefault="00637B64" w:rsidP="00637B64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3C69FB43" w14:textId="77777777" w:rsidR="00637B64" w:rsidRDefault="00637B64" w:rsidP="00637B64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3.1 – </w:t>
            </w:r>
            <w:r w:rsidR="0047511D">
              <w:rPr>
                <w:sz w:val="20"/>
                <w:lang w:val="pt-BR"/>
              </w:rPr>
              <w:t xml:space="preserve">Obter os valores dos parâmetros necessários para o cálculo do sub-indicador </w:t>
            </w:r>
            <w:r w:rsidR="005A17AD">
              <w:rPr>
                <w:sz w:val="20"/>
                <w:lang w:val="pt-BR"/>
              </w:rPr>
              <w:t>CMD</w:t>
            </w:r>
            <w:r w:rsidR="0047511D">
              <w:rPr>
                <w:sz w:val="20"/>
                <w:lang w:val="pt-BR"/>
              </w:rPr>
              <w:t xml:space="preserve"> (</w:t>
            </w:r>
            <w:r w:rsidR="005A17AD">
              <w:rPr>
                <w:sz w:val="20"/>
                <w:lang w:val="pt-BR"/>
              </w:rPr>
              <w:t>Contingente de Médicos e Dentistas</w:t>
            </w:r>
            <w:r w:rsidR="0047511D">
              <w:rPr>
                <w:sz w:val="20"/>
                <w:lang w:val="pt-BR"/>
              </w:rPr>
              <w:t>):</w:t>
            </w:r>
          </w:p>
          <w:p w14:paraId="3C69FB44" w14:textId="4161E509" w:rsidR="00691E53" w:rsidRDefault="00BF1DE6" w:rsidP="00691E53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691E53">
              <w:rPr>
                <w:sz w:val="20"/>
                <w:lang w:val="pt-BR"/>
              </w:rPr>
              <w:t>3.1</w:t>
            </w:r>
            <w:r w:rsidR="00637B64" w:rsidRPr="00691E53">
              <w:rPr>
                <w:sz w:val="20"/>
                <w:lang w:val="pt-BR"/>
              </w:rPr>
              <w:t xml:space="preserve">.1 – </w:t>
            </w:r>
            <w:r w:rsidR="00691E53" w:rsidRPr="00691E53">
              <w:rPr>
                <w:sz w:val="20"/>
                <w:lang w:val="pt-BR"/>
              </w:rPr>
              <w:t>NMMD</w:t>
            </w:r>
            <w:r w:rsidR="00EF3B1C" w:rsidRPr="00691E53">
              <w:rPr>
                <w:sz w:val="20"/>
                <w:lang w:val="pt-BR"/>
              </w:rPr>
              <w:t xml:space="preserve"> (</w:t>
            </w:r>
            <w:r w:rsidR="007021BF" w:rsidRPr="00691E53">
              <w:rPr>
                <w:sz w:val="20"/>
                <w:lang w:val="pt-BR"/>
              </w:rPr>
              <w:t xml:space="preserve">Número </w:t>
            </w:r>
            <w:r w:rsidR="00691E53" w:rsidRPr="00691E53">
              <w:rPr>
                <w:sz w:val="20"/>
                <w:lang w:val="pt-BR"/>
              </w:rPr>
              <w:t>de Médicos e Dentistas</w:t>
            </w:r>
            <w:r w:rsidR="00EF3B1C" w:rsidRPr="00691E53">
              <w:rPr>
                <w:sz w:val="20"/>
                <w:lang w:val="pt-BR"/>
              </w:rPr>
              <w:t>)</w:t>
            </w:r>
            <w:r w:rsidR="0047511D" w:rsidRPr="00691E53">
              <w:rPr>
                <w:sz w:val="20"/>
                <w:lang w:val="pt-BR"/>
              </w:rPr>
              <w:t xml:space="preserve">: obter </w:t>
            </w:r>
            <w:r w:rsidR="00D830D1" w:rsidRPr="00691E53">
              <w:rPr>
                <w:sz w:val="20"/>
                <w:lang w:val="pt-BR"/>
              </w:rPr>
              <w:t xml:space="preserve">o valor que indica </w:t>
            </w:r>
            <w:r w:rsidR="00691E53" w:rsidRPr="00691E53">
              <w:rPr>
                <w:sz w:val="20"/>
                <w:lang w:val="pt-BR"/>
              </w:rPr>
              <w:t xml:space="preserve">o somatório do número de profissionais (Médicos + Dentistas) no primeiro dia útil de cada mês do período analisado, dividido </w:t>
            </w:r>
            <w:r w:rsidR="00C73B85">
              <w:rPr>
                <w:sz w:val="20"/>
                <w:lang w:val="pt-BR"/>
              </w:rPr>
              <w:t>pelo número de meses do período</w:t>
            </w:r>
            <w:r w:rsidR="00691E53" w:rsidRPr="00691E53">
              <w:rPr>
                <w:sz w:val="20"/>
                <w:lang w:val="pt-BR"/>
              </w:rPr>
              <w:t>.</w:t>
            </w:r>
            <w:r w:rsidR="0019292F">
              <w:rPr>
                <w:sz w:val="20"/>
                <w:lang w:val="pt-BR"/>
              </w:rPr>
              <w:t xml:space="preserve"> Este valor pode ser obtido por uma das seguintes fontes:</w:t>
            </w:r>
          </w:p>
          <w:p w14:paraId="01C29D63" w14:textId="37A0AC9F" w:rsidR="0019292F" w:rsidRDefault="0019292F" w:rsidP="0019292F">
            <w:pPr>
              <w:spacing w:before="20" w:after="0"/>
              <w:ind w:left="1656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3.1.1.1 – Via </w:t>
            </w:r>
            <w:r w:rsidRPr="0019292F">
              <w:rPr>
                <w:sz w:val="20"/>
                <w:lang w:val="pt-BR"/>
              </w:rPr>
              <w:t xml:space="preserve">contratos </w:t>
            </w:r>
            <w:r>
              <w:rPr>
                <w:sz w:val="20"/>
                <w:lang w:val="pt-BR"/>
              </w:rPr>
              <w:t>d</w:t>
            </w:r>
            <w:r w:rsidRPr="0019292F">
              <w:rPr>
                <w:sz w:val="20"/>
                <w:lang w:val="pt-BR"/>
              </w:rPr>
              <w:t>e</w:t>
            </w:r>
            <w:r>
              <w:rPr>
                <w:sz w:val="20"/>
                <w:lang w:val="pt-BR"/>
              </w:rPr>
              <w:t xml:space="preserve"> médicos e dentistas</w:t>
            </w:r>
            <w:r w:rsidRPr="0019292F">
              <w:rPr>
                <w:sz w:val="20"/>
                <w:lang w:val="pt-BR"/>
              </w:rPr>
              <w:t xml:space="preserve"> </w:t>
            </w:r>
            <w:r>
              <w:rPr>
                <w:sz w:val="20"/>
                <w:lang w:val="pt-BR"/>
              </w:rPr>
              <w:t xml:space="preserve">vigentes </w:t>
            </w:r>
            <w:r w:rsidRPr="0019292F">
              <w:rPr>
                <w:sz w:val="20"/>
                <w:lang w:val="pt-BR"/>
              </w:rPr>
              <w:t>no primeiro dia útil de cada mês do bimestre</w:t>
            </w:r>
            <w:r>
              <w:rPr>
                <w:sz w:val="20"/>
                <w:lang w:val="pt-BR"/>
              </w:rPr>
              <w:t>.</w:t>
            </w:r>
          </w:p>
          <w:p w14:paraId="4235636C" w14:textId="5E8F59F8" w:rsidR="0019292F" w:rsidRPr="00691E53" w:rsidRDefault="0019292F" w:rsidP="0019292F">
            <w:pPr>
              <w:spacing w:before="20" w:after="0"/>
              <w:ind w:left="1656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3.1.1.2 – Via sistema da Concessionária. </w:t>
            </w:r>
          </w:p>
          <w:p w14:paraId="3C69FB45" w14:textId="25539F76" w:rsidR="00691E53" w:rsidRPr="00691E53" w:rsidRDefault="00691E53" w:rsidP="00691E53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691E53">
              <w:rPr>
                <w:sz w:val="20"/>
                <w:lang w:val="pt-BR"/>
              </w:rPr>
              <w:t>3.1.2 – NSB (Número Médio de Sentenciados no Bimestre): obter</w:t>
            </w:r>
            <w:r w:rsidR="0032669D">
              <w:rPr>
                <w:sz w:val="20"/>
                <w:lang w:val="pt-BR"/>
              </w:rPr>
              <w:t xml:space="preserve">, via sistema da Concessionária, </w:t>
            </w:r>
            <w:r w:rsidRPr="00691E53">
              <w:rPr>
                <w:sz w:val="20"/>
                <w:lang w:val="pt-BR"/>
              </w:rPr>
              <w:t>o valor que indica a soma do número de sentenciados que pernoitaram na unidade penal em cada dia do período, dividido pelo número de dias corridos no período.</w:t>
            </w:r>
          </w:p>
          <w:p w14:paraId="3C69FB46" w14:textId="77777777" w:rsidR="009E10D4" w:rsidRPr="009E10D4" w:rsidRDefault="009E10D4" w:rsidP="009E10D4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3C69FB47" w14:textId="77777777" w:rsidR="00BF1DE6" w:rsidRPr="007762D3" w:rsidRDefault="00BF1DE6" w:rsidP="00BF1DE6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 w:rsidRPr="007762D3">
              <w:rPr>
                <w:sz w:val="20"/>
                <w:lang w:val="pt-BR"/>
              </w:rPr>
              <w:t xml:space="preserve">3.2 – Obter os valores dos parâmetros necessários para o cálculo do sub-indicador </w:t>
            </w:r>
            <w:r w:rsidR="005A17AD">
              <w:rPr>
                <w:sz w:val="20"/>
                <w:lang w:val="pt-BR"/>
              </w:rPr>
              <w:t>CE</w:t>
            </w:r>
            <w:r w:rsidRPr="007762D3">
              <w:rPr>
                <w:sz w:val="20"/>
                <w:lang w:val="pt-BR"/>
              </w:rPr>
              <w:t xml:space="preserve"> (</w:t>
            </w:r>
            <w:r w:rsidR="005A17AD">
              <w:rPr>
                <w:sz w:val="20"/>
                <w:lang w:val="pt-BR"/>
              </w:rPr>
              <w:t>Contingente de Enfermeiros</w:t>
            </w:r>
            <w:r w:rsidRPr="007762D3">
              <w:rPr>
                <w:sz w:val="20"/>
                <w:lang w:val="pt-BR"/>
              </w:rPr>
              <w:t>):</w:t>
            </w:r>
          </w:p>
          <w:p w14:paraId="3C69FB48" w14:textId="6AC1EB3F" w:rsidR="0047511D" w:rsidRDefault="00BF1DE6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BC20A0">
              <w:rPr>
                <w:sz w:val="20"/>
                <w:lang w:val="pt-BR"/>
              </w:rPr>
              <w:t xml:space="preserve">3.2.1 – </w:t>
            </w:r>
            <w:r w:rsidR="00C73B85" w:rsidRPr="00BC20A0">
              <w:rPr>
                <w:sz w:val="20"/>
                <w:lang w:val="pt-BR"/>
              </w:rPr>
              <w:t>NME</w:t>
            </w:r>
            <w:r w:rsidRPr="00BC20A0">
              <w:rPr>
                <w:sz w:val="20"/>
                <w:lang w:val="pt-BR"/>
              </w:rPr>
              <w:t xml:space="preserve"> (</w:t>
            </w:r>
            <w:r w:rsidR="00C73B85" w:rsidRPr="00BC20A0">
              <w:rPr>
                <w:sz w:val="20"/>
                <w:lang w:val="pt-BR"/>
              </w:rPr>
              <w:t>Número médio de Enfe</w:t>
            </w:r>
            <w:r w:rsidR="00317441">
              <w:rPr>
                <w:sz w:val="20"/>
                <w:lang w:val="pt-BR"/>
              </w:rPr>
              <w:t>r</w:t>
            </w:r>
            <w:r w:rsidR="00C73B85" w:rsidRPr="00BC20A0">
              <w:rPr>
                <w:sz w:val="20"/>
                <w:lang w:val="pt-BR"/>
              </w:rPr>
              <w:t>meiros</w:t>
            </w:r>
            <w:r w:rsidRPr="00BC20A0">
              <w:rPr>
                <w:sz w:val="20"/>
                <w:lang w:val="pt-BR"/>
              </w:rPr>
              <w:t xml:space="preserve">): </w:t>
            </w:r>
            <w:r w:rsidR="00C73B85" w:rsidRPr="00BC20A0">
              <w:rPr>
                <w:sz w:val="20"/>
                <w:lang w:val="pt-BR"/>
              </w:rPr>
              <w:t>obter o valor que indica o somatório do número de profissionais (Enfermeiros) no primeiro dia útil de cada mês do período analisado, dividido pelo número de meses do período</w:t>
            </w:r>
            <w:r w:rsidRPr="00BC20A0">
              <w:rPr>
                <w:sz w:val="20"/>
                <w:lang w:val="pt-BR"/>
              </w:rPr>
              <w:t>.</w:t>
            </w:r>
            <w:r w:rsidR="0019292F">
              <w:rPr>
                <w:sz w:val="20"/>
                <w:lang w:val="pt-BR"/>
              </w:rPr>
              <w:t xml:space="preserve"> Este valor pode ser obtido por uma das seguintes fontes:</w:t>
            </w:r>
          </w:p>
          <w:p w14:paraId="70645D34" w14:textId="1889B24D" w:rsidR="0019292F" w:rsidRDefault="0019292F" w:rsidP="0019292F">
            <w:pPr>
              <w:spacing w:before="20" w:after="0"/>
              <w:ind w:left="1656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3.2.1.1 – Via </w:t>
            </w:r>
            <w:r w:rsidRPr="0019292F">
              <w:rPr>
                <w:sz w:val="20"/>
                <w:lang w:val="pt-BR"/>
              </w:rPr>
              <w:t xml:space="preserve">contratos </w:t>
            </w:r>
            <w:r>
              <w:rPr>
                <w:sz w:val="20"/>
                <w:lang w:val="pt-BR"/>
              </w:rPr>
              <w:t>d</w:t>
            </w:r>
            <w:r w:rsidRPr="0019292F">
              <w:rPr>
                <w:sz w:val="20"/>
                <w:lang w:val="pt-BR"/>
              </w:rPr>
              <w:t>e</w:t>
            </w:r>
            <w:r>
              <w:rPr>
                <w:sz w:val="20"/>
                <w:lang w:val="pt-BR"/>
              </w:rPr>
              <w:t xml:space="preserve"> enfermeiro</w:t>
            </w:r>
            <w:r w:rsidRPr="0019292F">
              <w:rPr>
                <w:sz w:val="20"/>
                <w:lang w:val="pt-BR"/>
              </w:rPr>
              <w:t xml:space="preserve"> </w:t>
            </w:r>
            <w:r>
              <w:rPr>
                <w:sz w:val="20"/>
                <w:lang w:val="pt-BR"/>
              </w:rPr>
              <w:t xml:space="preserve">vigentes </w:t>
            </w:r>
            <w:r w:rsidRPr="0019292F">
              <w:rPr>
                <w:sz w:val="20"/>
                <w:lang w:val="pt-BR"/>
              </w:rPr>
              <w:t>no primeiro dia útil de cada mês do bimestre</w:t>
            </w:r>
            <w:r>
              <w:rPr>
                <w:sz w:val="20"/>
                <w:lang w:val="pt-BR"/>
              </w:rPr>
              <w:t>.</w:t>
            </w:r>
          </w:p>
          <w:p w14:paraId="555886E8" w14:textId="31C9B96C" w:rsidR="0019292F" w:rsidRPr="00691E53" w:rsidRDefault="0019292F" w:rsidP="0019292F">
            <w:pPr>
              <w:spacing w:before="20" w:after="0"/>
              <w:ind w:left="1656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3.2.1.2 – Via sistema da Concessionária. </w:t>
            </w:r>
          </w:p>
          <w:p w14:paraId="3C69FB49" w14:textId="2A7C8941" w:rsidR="00BF1DE6" w:rsidRPr="00BC20A0" w:rsidRDefault="00BF1DE6" w:rsidP="00BF1DE6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BC20A0">
              <w:rPr>
                <w:sz w:val="20"/>
                <w:lang w:val="pt-BR"/>
              </w:rPr>
              <w:t>3.2.2 – NSB (Número Médio de Sentenciados no Bimestre): obter</w:t>
            </w:r>
            <w:r w:rsidR="00884677">
              <w:rPr>
                <w:sz w:val="20"/>
                <w:lang w:val="pt-BR"/>
              </w:rPr>
              <w:t>, via sistema da Concessionária,</w:t>
            </w:r>
            <w:r w:rsidRPr="00BC20A0">
              <w:rPr>
                <w:sz w:val="20"/>
                <w:lang w:val="pt-BR"/>
              </w:rPr>
              <w:t xml:space="preserve"> o valor que indica a soma do número de sentenciados que pernoitaram na unidade penal em cada dia do período, dividido pelo número de dias corridos no período.</w:t>
            </w:r>
          </w:p>
          <w:p w14:paraId="3C69FB4A" w14:textId="77777777" w:rsidR="0047511D" w:rsidRDefault="0047511D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3C69FB4B" w14:textId="77777777" w:rsidR="007762D3" w:rsidRPr="007762D3" w:rsidRDefault="007762D3" w:rsidP="007762D3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 w:rsidRPr="007762D3">
              <w:rPr>
                <w:sz w:val="20"/>
                <w:lang w:val="pt-BR"/>
              </w:rPr>
              <w:t>3.</w:t>
            </w:r>
            <w:r>
              <w:rPr>
                <w:sz w:val="20"/>
                <w:lang w:val="pt-BR"/>
              </w:rPr>
              <w:t>3</w:t>
            </w:r>
            <w:r w:rsidRPr="007762D3">
              <w:rPr>
                <w:sz w:val="20"/>
                <w:lang w:val="pt-BR"/>
              </w:rPr>
              <w:t xml:space="preserve"> – Obter os valores dos parâmetros necessários para o cálculo do sub-indicador </w:t>
            </w:r>
            <w:r w:rsidR="005A17AD">
              <w:rPr>
                <w:sz w:val="20"/>
                <w:lang w:val="pt-BR"/>
              </w:rPr>
              <w:t>HMD</w:t>
            </w:r>
            <w:r w:rsidRPr="007762D3">
              <w:rPr>
                <w:sz w:val="20"/>
                <w:lang w:val="pt-BR"/>
              </w:rPr>
              <w:t xml:space="preserve"> (</w:t>
            </w:r>
            <w:r w:rsidR="005A17AD">
              <w:rPr>
                <w:sz w:val="20"/>
                <w:lang w:val="pt-BR"/>
              </w:rPr>
              <w:t>Horas de Médicos e Dentistas</w:t>
            </w:r>
            <w:r w:rsidRPr="007762D3">
              <w:rPr>
                <w:sz w:val="20"/>
                <w:lang w:val="pt-BR"/>
              </w:rPr>
              <w:t>):</w:t>
            </w:r>
          </w:p>
          <w:p w14:paraId="3C69FB4C" w14:textId="3F24CD80" w:rsidR="00317441" w:rsidRPr="00317441" w:rsidRDefault="007762D3" w:rsidP="00317441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317441">
              <w:rPr>
                <w:sz w:val="20"/>
                <w:lang w:val="pt-BR"/>
              </w:rPr>
              <w:t>3.</w:t>
            </w:r>
            <w:r w:rsidR="007021BF" w:rsidRPr="00317441">
              <w:rPr>
                <w:sz w:val="20"/>
                <w:lang w:val="pt-BR"/>
              </w:rPr>
              <w:t>3</w:t>
            </w:r>
            <w:r w:rsidRPr="00317441">
              <w:rPr>
                <w:sz w:val="20"/>
                <w:lang w:val="pt-BR"/>
              </w:rPr>
              <w:t xml:space="preserve">.1 – </w:t>
            </w:r>
            <w:r w:rsidR="00317441" w:rsidRPr="00317441">
              <w:rPr>
                <w:sz w:val="20"/>
                <w:lang w:val="pt-BR"/>
              </w:rPr>
              <w:t>THMD</w:t>
            </w:r>
            <w:r w:rsidRPr="00317441">
              <w:rPr>
                <w:sz w:val="20"/>
                <w:lang w:val="pt-BR"/>
              </w:rPr>
              <w:t xml:space="preserve"> (</w:t>
            </w:r>
            <w:r w:rsidR="00317441" w:rsidRPr="00317441">
              <w:rPr>
                <w:sz w:val="20"/>
                <w:lang w:val="pt-BR"/>
              </w:rPr>
              <w:t>Total de Horas de Médicos e Dentistas</w:t>
            </w:r>
            <w:r w:rsidRPr="00317441">
              <w:rPr>
                <w:sz w:val="20"/>
                <w:lang w:val="pt-BR"/>
              </w:rPr>
              <w:t>): obter</w:t>
            </w:r>
            <w:r w:rsidR="006C1CBA">
              <w:rPr>
                <w:sz w:val="20"/>
                <w:lang w:val="pt-BR"/>
              </w:rPr>
              <w:t>, via sistema da Concessionária,</w:t>
            </w:r>
            <w:r w:rsidRPr="00317441">
              <w:rPr>
                <w:sz w:val="20"/>
                <w:lang w:val="pt-BR"/>
              </w:rPr>
              <w:t xml:space="preserve"> o valor que indica o </w:t>
            </w:r>
            <w:r w:rsidR="00037546" w:rsidRPr="00317441">
              <w:rPr>
                <w:sz w:val="20"/>
                <w:lang w:val="pt-BR"/>
              </w:rPr>
              <w:t xml:space="preserve">somatório </w:t>
            </w:r>
            <w:r w:rsidR="006C1CBA">
              <w:rPr>
                <w:sz w:val="20"/>
                <w:lang w:val="pt-BR"/>
              </w:rPr>
              <w:t>s</w:t>
            </w:r>
            <w:r w:rsidR="00317441" w:rsidRPr="00317441">
              <w:rPr>
                <w:sz w:val="20"/>
                <w:lang w:val="pt-BR"/>
              </w:rPr>
              <w:t>oma das horas de efetivo exercício de cada profissional.</w:t>
            </w:r>
            <w:r w:rsidR="006C1CBA">
              <w:rPr>
                <w:sz w:val="20"/>
                <w:lang w:val="pt-BR"/>
              </w:rPr>
              <w:t xml:space="preserve"> </w:t>
            </w:r>
          </w:p>
          <w:p w14:paraId="3C69FB4D" w14:textId="0E8872C8" w:rsidR="007762D3" w:rsidRPr="00317441" w:rsidRDefault="007762D3" w:rsidP="00037546">
            <w:pPr>
              <w:spacing w:before="20" w:after="0"/>
              <w:ind w:left="1089"/>
              <w:rPr>
                <w:sz w:val="20"/>
                <w:lang w:val="pt-BR"/>
              </w:rPr>
            </w:pPr>
            <w:r w:rsidRPr="00317441">
              <w:rPr>
                <w:sz w:val="20"/>
                <w:lang w:val="pt-BR"/>
              </w:rPr>
              <w:t>3.</w:t>
            </w:r>
            <w:r w:rsidR="007021BF" w:rsidRPr="00317441">
              <w:rPr>
                <w:sz w:val="20"/>
                <w:lang w:val="pt-BR"/>
              </w:rPr>
              <w:t>3</w:t>
            </w:r>
            <w:r w:rsidRPr="00317441">
              <w:rPr>
                <w:sz w:val="20"/>
                <w:lang w:val="pt-BR"/>
              </w:rPr>
              <w:t>.2 – NSB (Número Médio de Sentenciados no Bimestre): obter</w:t>
            </w:r>
            <w:r w:rsidR="006C1CBA">
              <w:rPr>
                <w:sz w:val="20"/>
                <w:lang w:val="pt-BR"/>
              </w:rPr>
              <w:t>, via sistema da Concessionária,</w:t>
            </w:r>
            <w:r w:rsidRPr="00317441">
              <w:rPr>
                <w:sz w:val="20"/>
                <w:lang w:val="pt-BR"/>
              </w:rPr>
              <w:t xml:space="preserve"> o valor que indica a soma do número de sentenciados que pernoitaram na unidade penal em cada dia do período, dividido pelo número de dias corridos no período.</w:t>
            </w:r>
          </w:p>
          <w:p w14:paraId="3C69FB4E" w14:textId="77777777" w:rsidR="007762D3" w:rsidRDefault="007762D3" w:rsidP="00637B64">
            <w:pPr>
              <w:spacing w:before="20" w:after="0"/>
              <w:ind w:left="1089"/>
              <w:rPr>
                <w:sz w:val="20"/>
                <w:lang w:val="pt-BR"/>
              </w:rPr>
            </w:pPr>
          </w:p>
          <w:p w14:paraId="3C69FB4F" w14:textId="4AA9527E" w:rsidR="00B06927" w:rsidRPr="00B06927" w:rsidRDefault="00B06927" w:rsidP="00B06927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B06927">
              <w:rPr>
                <w:sz w:val="20"/>
                <w:lang w:val="pt-BR"/>
              </w:rPr>
              <w:t>3.</w:t>
            </w:r>
            <w:r w:rsidR="007021BF">
              <w:rPr>
                <w:sz w:val="20"/>
                <w:lang w:val="pt-BR"/>
              </w:rPr>
              <w:t>4</w:t>
            </w:r>
            <w:r>
              <w:rPr>
                <w:sz w:val="20"/>
                <w:lang w:val="pt-BR"/>
              </w:rPr>
              <w:t xml:space="preserve"> </w:t>
            </w:r>
            <w:r w:rsidRPr="00B06927">
              <w:rPr>
                <w:sz w:val="20"/>
                <w:lang w:val="pt-BR"/>
              </w:rPr>
              <w:t xml:space="preserve">– Inserir na planilha </w:t>
            </w:r>
            <w:r w:rsidR="0032669D">
              <w:rPr>
                <w:sz w:val="20"/>
                <w:lang w:val="pt-BR"/>
              </w:rPr>
              <w:t>PL Compilação VI</w:t>
            </w:r>
            <w:r w:rsidRPr="00B06927">
              <w:rPr>
                <w:sz w:val="20"/>
                <w:lang w:val="pt-BR"/>
              </w:rPr>
              <w:t xml:space="preserve"> todos os</w:t>
            </w:r>
            <w:r>
              <w:rPr>
                <w:sz w:val="20"/>
                <w:lang w:val="pt-BR"/>
              </w:rPr>
              <w:t xml:space="preserve"> itens</w:t>
            </w:r>
            <w:r w:rsidRPr="00B06927">
              <w:rPr>
                <w:sz w:val="20"/>
                <w:lang w:val="pt-BR"/>
              </w:rPr>
              <w:t xml:space="preserve"> registrados no formulário de verificação </w:t>
            </w:r>
            <w:r w:rsidR="0032669D">
              <w:rPr>
                <w:sz w:val="20"/>
                <w:lang w:val="pt-BR"/>
              </w:rPr>
              <w:t>FV ID AAS</w:t>
            </w:r>
            <w:r w:rsidRPr="00B06927">
              <w:rPr>
                <w:sz w:val="20"/>
                <w:lang w:val="pt-BR"/>
              </w:rPr>
              <w:t>.</w:t>
            </w:r>
          </w:p>
          <w:p w14:paraId="3C69FB50" w14:textId="77777777" w:rsidR="00B06927" w:rsidRPr="00B06927" w:rsidRDefault="00B06927" w:rsidP="00B06927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3C69FB51" w14:textId="2266C1D4" w:rsidR="0032669D" w:rsidRPr="006C1CBA" w:rsidRDefault="00B06927" w:rsidP="006C1CBA">
            <w:pPr>
              <w:pStyle w:val="PargrafodaLista"/>
              <w:numPr>
                <w:ilvl w:val="1"/>
                <w:numId w:val="2"/>
              </w:numPr>
              <w:spacing w:before="20" w:after="0"/>
              <w:rPr>
                <w:lang w:val="pt-BR"/>
              </w:rPr>
            </w:pPr>
            <w:r w:rsidRPr="006C1CBA">
              <w:rPr>
                <w:sz w:val="20"/>
                <w:lang w:val="pt-BR"/>
              </w:rPr>
              <w:t xml:space="preserve">– Com o uso da planilha </w:t>
            </w:r>
            <w:r w:rsidR="0032669D" w:rsidRPr="006C1CBA">
              <w:rPr>
                <w:sz w:val="20"/>
                <w:lang w:val="pt-BR"/>
              </w:rPr>
              <w:t>PL Compilação VI</w:t>
            </w:r>
            <w:r w:rsidRPr="006C1CBA">
              <w:rPr>
                <w:sz w:val="20"/>
                <w:lang w:val="pt-BR"/>
              </w:rPr>
              <w:t xml:space="preserve">, </w:t>
            </w:r>
            <w:r w:rsidR="00387CF2" w:rsidRPr="006C1CBA">
              <w:rPr>
                <w:sz w:val="20"/>
                <w:lang w:val="pt-BR"/>
              </w:rPr>
              <w:t>calcular o valor</w:t>
            </w:r>
            <w:r w:rsidR="00BF1DE6" w:rsidRPr="006C1CBA">
              <w:rPr>
                <w:sz w:val="20"/>
                <w:lang w:val="pt-BR"/>
              </w:rPr>
              <w:t xml:space="preserve"> do ID</w:t>
            </w:r>
            <w:r w:rsidRPr="006C1CBA">
              <w:rPr>
                <w:sz w:val="20"/>
                <w:lang w:val="pt-BR"/>
              </w:rPr>
              <w:t>.</w:t>
            </w:r>
          </w:p>
        </w:tc>
      </w:tr>
    </w:tbl>
    <w:p w14:paraId="3C69FB53" w14:textId="77777777" w:rsidR="00D664A7" w:rsidRDefault="00D664A7" w:rsidP="008B3501">
      <w:pPr>
        <w:spacing w:before="20" w:after="0"/>
        <w:rPr>
          <w:sz w:val="2"/>
          <w:lang w:val="pt-BR"/>
        </w:rPr>
      </w:pPr>
    </w:p>
    <w:sectPr w:rsidR="00D664A7" w:rsidSect="006C323A">
      <w:headerReference w:type="default" r:id="rId11"/>
      <w:pgSz w:w="11909" w:h="16834" w:code="9"/>
      <w:pgMar w:top="288" w:right="1440" w:bottom="81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BF292F" w14:textId="77777777" w:rsidR="00582E1D" w:rsidRDefault="00582E1D" w:rsidP="00D664A7">
      <w:pPr>
        <w:spacing w:after="0" w:line="240" w:lineRule="auto"/>
      </w:pPr>
      <w:r>
        <w:separator/>
      </w:r>
    </w:p>
  </w:endnote>
  <w:endnote w:type="continuationSeparator" w:id="0">
    <w:p w14:paraId="27760083" w14:textId="77777777" w:rsidR="00582E1D" w:rsidRDefault="00582E1D" w:rsidP="00D6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050077" w14:textId="77777777" w:rsidR="00582E1D" w:rsidRDefault="00582E1D" w:rsidP="00D664A7">
      <w:pPr>
        <w:spacing w:after="0" w:line="240" w:lineRule="auto"/>
      </w:pPr>
      <w:r>
        <w:separator/>
      </w:r>
    </w:p>
  </w:footnote>
  <w:footnote w:type="continuationSeparator" w:id="0">
    <w:p w14:paraId="513BB5CA" w14:textId="77777777" w:rsidR="00582E1D" w:rsidRDefault="00582E1D" w:rsidP="00D6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8476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C69FB58" w14:textId="77777777" w:rsidR="0019292F" w:rsidRDefault="0019292F">
        <w:pPr>
          <w:pStyle w:val="Cabealho"/>
          <w:jc w:val="right"/>
        </w:pPr>
      </w:p>
      <w:tbl>
        <w:tblPr>
          <w:tblW w:w="5744" w:type="pct"/>
          <w:tblInd w:w="-522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1713"/>
          <w:gridCol w:w="2432"/>
          <w:gridCol w:w="1859"/>
          <w:gridCol w:w="2371"/>
          <w:gridCol w:w="988"/>
          <w:gridCol w:w="1258"/>
        </w:tblGrid>
        <w:tr w:rsidR="0019292F" w:rsidRPr="002D167F" w14:paraId="3C69FB5E" w14:textId="77777777" w:rsidTr="0032669D">
          <w:trPr>
            <w:trHeight w:val="520"/>
          </w:trPr>
          <w:tc>
            <w:tcPr>
              <w:tcW w:w="807" w:type="pct"/>
              <w:vMerge w:val="restart"/>
              <w:shd w:val="clear" w:color="auto" w:fill="auto"/>
              <w:noWrap/>
              <w:vAlign w:val="bottom"/>
              <w:hideMark/>
            </w:tcPr>
            <w:p w14:paraId="3C69FB59" w14:textId="16215168" w:rsidR="0019292F" w:rsidRPr="002952A5" w:rsidRDefault="0019292F" w:rsidP="0032669D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  <w:p w14:paraId="3C69FB5A" w14:textId="77777777" w:rsidR="0019292F" w:rsidRPr="002952A5" w:rsidRDefault="0019292F" w:rsidP="0032669D">
              <w:pPr>
                <w:spacing w:after="0" w:line="240" w:lineRule="auto"/>
                <w:ind w:left="-720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 w:val="restart"/>
              <w:shd w:val="clear" w:color="FFFFCC" w:fill="FFFFFF"/>
              <w:vAlign w:val="center"/>
              <w:hideMark/>
            </w:tcPr>
            <w:p w14:paraId="3C69FB5B" w14:textId="667D133B" w:rsidR="0019292F" w:rsidRPr="00440F5F" w:rsidRDefault="0019292F" w:rsidP="0032669D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</w:pPr>
              <w:r>
                <w:rPr>
                  <w:rFonts w:eastAsia="Times New Roman" w:cstheme="minorHAnsi"/>
                  <w:b/>
                  <w:bCs/>
                  <w:sz w:val="28"/>
                  <w:szCs w:val="24"/>
                  <w:lang w:val="pt-BR"/>
                </w:rPr>
                <w:t>VERIFICADOR INDEPENDENTE – COMPLEXO PENAL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3C69FB5C" w14:textId="77777777" w:rsidR="0019292F" w:rsidRPr="009C24EC" w:rsidRDefault="0019292F" w:rsidP="0032669D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Emissão: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3C69FB5D" w14:textId="0EB7B2AA" w:rsidR="0019292F" w:rsidRPr="009C24EC" w:rsidRDefault="0019292F" w:rsidP="0032669D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25/09/2012</w:t>
              </w:r>
            </w:p>
          </w:tc>
        </w:tr>
        <w:tr w:rsidR="0019292F" w:rsidRPr="002D167F" w14:paraId="3C69FB63" w14:textId="77777777" w:rsidTr="0032669D">
          <w:trPr>
            <w:trHeight w:val="250"/>
          </w:trPr>
          <w:tc>
            <w:tcPr>
              <w:tcW w:w="807" w:type="pct"/>
              <w:vMerge/>
              <w:vAlign w:val="center"/>
              <w:hideMark/>
            </w:tcPr>
            <w:p w14:paraId="3C69FB5F" w14:textId="77777777" w:rsidR="0019292F" w:rsidRPr="002952A5" w:rsidRDefault="0019292F" w:rsidP="0032669D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vMerge/>
              <w:vAlign w:val="center"/>
              <w:hideMark/>
            </w:tcPr>
            <w:p w14:paraId="3C69FB60" w14:textId="77777777" w:rsidR="0019292F" w:rsidRPr="002952A5" w:rsidRDefault="0019292F" w:rsidP="0032669D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18"/>
                  <w:szCs w:val="56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3C69FB61" w14:textId="77777777" w:rsidR="0019292F" w:rsidRPr="009C24EC" w:rsidRDefault="0019292F" w:rsidP="0032669D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Código: </w:t>
              </w:r>
            </w:p>
          </w:tc>
          <w:tc>
            <w:tcPr>
              <w:tcW w:w="592" w:type="pct"/>
              <w:shd w:val="clear" w:color="auto" w:fill="auto"/>
              <w:noWrap/>
              <w:vAlign w:val="center"/>
              <w:hideMark/>
            </w:tcPr>
            <w:p w14:paraId="3C69FB62" w14:textId="02636BB4" w:rsidR="0019292F" w:rsidRPr="009C24EC" w:rsidRDefault="0019292F" w:rsidP="0032669D">
              <w:pPr>
                <w:spacing w:after="0" w:line="240" w:lineRule="auto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POP ID AAS</w:t>
              </w:r>
            </w:p>
          </w:tc>
        </w:tr>
        <w:tr w:rsidR="0019292F" w:rsidRPr="002D167F" w14:paraId="3C69FB68" w14:textId="77777777" w:rsidTr="0032669D">
          <w:trPr>
            <w:trHeight w:val="350"/>
          </w:trPr>
          <w:tc>
            <w:tcPr>
              <w:tcW w:w="807" w:type="pct"/>
              <w:vMerge/>
              <w:vAlign w:val="center"/>
              <w:hideMark/>
            </w:tcPr>
            <w:p w14:paraId="3C69FB64" w14:textId="77777777" w:rsidR="0019292F" w:rsidRPr="002952A5" w:rsidRDefault="0019292F" w:rsidP="0032669D">
              <w:pPr>
                <w:spacing w:after="0" w:line="240" w:lineRule="auto"/>
                <w:rPr>
                  <w:rFonts w:eastAsia="Times New Roman" w:cstheme="minorHAnsi"/>
                  <w:sz w:val="18"/>
                  <w:szCs w:val="20"/>
                </w:rPr>
              </w:pPr>
            </w:p>
          </w:tc>
          <w:tc>
            <w:tcPr>
              <w:tcW w:w="3136" w:type="pct"/>
              <w:gridSpan w:val="3"/>
              <w:shd w:val="clear" w:color="FFFFCC" w:fill="FFFFFF"/>
              <w:noWrap/>
              <w:vAlign w:val="center"/>
              <w:hideMark/>
            </w:tcPr>
            <w:p w14:paraId="3C69FB65" w14:textId="77777777" w:rsidR="0019292F" w:rsidRPr="002952A5" w:rsidRDefault="0019292F" w:rsidP="0032669D">
              <w:pPr>
                <w:spacing w:after="0" w:line="240" w:lineRule="auto"/>
                <w:jc w:val="center"/>
                <w:rPr>
                  <w:rFonts w:eastAsia="Times New Roman" w:cstheme="minorHAnsi"/>
                  <w:b/>
                  <w:bCs/>
                  <w:sz w:val="24"/>
                  <w:szCs w:val="64"/>
                </w:rPr>
              </w:pPr>
              <w:r>
                <w:rPr>
                  <w:rFonts w:eastAsia="Times New Roman" w:cstheme="minorHAnsi"/>
                  <w:b/>
                  <w:bCs/>
                  <w:sz w:val="24"/>
                  <w:szCs w:val="64"/>
                  <w:lang w:val="pt-BR"/>
                </w:rPr>
                <w:t>PROCEDIMENTO OPERACIONAL PADRÃO</w:t>
              </w: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3C69FB66" w14:textId="77777777" w:rsidR="0019292F" w:rsidRPr="009C24EC" w:rsidRDefault="0019292F" w:rsidP="0032669D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3C69FB67" w14:textId="77777777" w:rsidR="0019292F" w:rsidRPr="009C24EC" w:rsidRDefault="0019292F" w:rsidP="0032669D">
              <w:pPr>
                <w:spacing w:after="0" w:line="240" w:lineRule="auto"/>
                <w:ind w:left="-144"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 xml:space="preserve">  </w:t>
              </w:r>
              <w:r w:rsidRPr="009C24EC">
                <w:rPr>
                  <w:rFonts w:eastAsia="Times New Roman" w:cstheme="minorHAnsi"/>
                  <w:sz w:val="20"/>
                </w:rPr>
                <w:t>Emissão inicial</w:t>
              </w:r>
            </w:p>
          </w:tc>
        </w:tr>
        <w:tr w:rsidR="0019292F" w:rsidRPr="002952A5" w14:paraId="3C69FB6F" w14:textId="77777777" w:rsidTr="0032669D">
          <w:trPr>
            <w:trHeight w:val="503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3C69FB69" w14:textId="77777777" w:rsidR="0019292F" w:rsidRPr="004328EF" w:rsidRDefault="0019292F" w:rsidP="0032669D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>Mecanismo: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3C69FB6A" w14:textId="77777777" w:rsidR="0019292F" w:rsidRPr="004328EF" w:rsidRDefault="0019292F" w:rsidP="00071FEB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ID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3C69FB6B" w14:textId="77777777" w:rsidR="0019292F" w:rsidRPr="004328EF" w:rsidRDefault="0019292F" w:rsidP="0032669D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Elaborado por: </w:t>
              </w:r>
            </w:p>
          </w:tc>
          <w:tc>
            <w:tcPr>
              <w:tcW w:w="1116" w:type="pct"/>
              <w:shd w:val="clear" w:color="auto" w:fill="auto"/>
              <w:vAlign w:val="center"/>
              <w:hideMark/>
            </w:tcPr>
            <w:p w14:paraId="3C69FB6C" w14:textId="1EEB16D3" w:rsidR="0019292F" w:rsidRPr="004328EF" w:rsidRDefault="0019292F" w:rsidP="0032669D">
              <w:pPr>
                <w:spacing w:after="0" w:line="240" w:lineRule="auto"/>
                <w:rPr>
                  <w:rFonts w:eastAsia="Times New Roman" w:cstheme="minorHAnsi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3C69FB6D" w14:textId="77777777" w:rsidR="0019292F" w:rsidRPr="009C24EC" w:rsidRDefault="0019292F" w:rsidP="0032669D">
              <w:pPr>
                <w:spacing w:after="0" w:line="192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Data da Revisão: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3C69FB6E" w14:textId="62C2054D" w:rsidR="0019292F" w:rsidRPr="009C24EC" w:rsidRDefault="0019292F" w:rsidP="0032669D">
              <w:pPr>
                <w:spacing w:after="0" w:line="240" w:lineRule="auto"/>
                <w:ind w:right="-144"/>
                <w:rPr>
                  <w:rFonts w:eastAsia="Times New Roman" w:cstheme="minorHAnsi"/>
                  <w:sz w:val="20"/>
                </w:rPr>
              </w:pPr>
              <w:r>
                <w:rPr>
                  <w:rFonts w:eastAsia="Times New Roman" w:cstheme="minorHAnsi"/>
                  <w:sz w:val="20"/>
                </w:rPr>
                <w:t>-</w:t>
              </w:r>
            </w:p>
          </w:tc>
        </w:tr>
        <w:tr w:rsidR="0019292F" w:rsidRPr="002952A5" w14:paraId="3C69FB76" w14:textId="77777777" w:rsidTr="0032669D">
          <w:trPr>
            <w:trHeight w:val="395"/>
          </w:trPr>
          <w:tc>
            <w:tcPr>
              <w:tcW w:w="807" w:type="pct"/>
              <w:shd w:val="clear" w:color="FFFFCC" w:fill="FFFFFF"/>
              <w:noWrap/>
              <w:vAlign w:val="center"/>
              <w:hideMark/>
            </w:tcPr>
            <w:p w14:paraId="3C69FB70" w14:textId="77777777" w:rsidR="0019292F" w:rsidRPr="004328EF" w:rsidRDefault="0019292F" w:rsidP="00071FEB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>
                <w:rPr>
                  <w:rFonts w:eastAsia="Times New Roman" w:cstheme="minorHAnsi"/>
                  <w:b/>
                  <w:bCs/>
                </w:rPr>
                <w:t>Nota</w:t>
              </w:r>
              <w:r w:rsidRPr="004328EF">
                <w:rPr>
                  <w:rFonts w:eastAsia="Times New Roman" w:cstheme="minorHAnsi"/>
                  <w:b/>
                  <w:bCs/>
                </w:rPr>
                <w:t xml:space="preserve">: </w:t>
              </w:r>
            </w:p>
          </w:tc>
          <w:tc>
            <w:tcPr>
              <w:tcW w:w="1145" w:type="pct"/>
              <w:shd w:val="clear" w:color="FFFFCC" w:fill="FFFFFF"/>
              <w:noWrap/>
              <w:vAlign w:val="center"/>
              <w:hideMark/>
            </w:tcPr>
            <w:p w14:paraId="3C69FB71" w14:textId="77777777" w:rsidR="0019292F" w:rsidRPr="004328EF" w:rsidRDefault="0019292F" w:rsidP="00071FEB">
              <w:pPr>
                <w:spacing w:after="0" w:line="240" w:lineRule="auto"/>
                <w:rPr>
                  <w:rFonts w:eastAsia="Times New Roman" w:cstheme="minorHAnsi"/>
                </w:rPr>
              </w:pPr>
              <w:r>
                <w:rPr>
                  <w:rFonts w:eastAsia="Times New Roman" w:cstheme="minorHAnsi"/>
                </w:rPr>
                <w:t>S</w:t>
              </w:r>
            </w:p>
          </w:tc>
          <w:tc>
            <w:tcPr>
              <w:tcW w:w="875" w:type="pct"/>
              <w:shd w:val="clear" w:color="FFFFCC" w:fill="FFFFFF"/>
              <w:noWrap/>
              <w:vAlign w:val="center"/>
              <w:hideMark/>
            </w:tcPr>
            <w:p w14:paraId="3C69FB72" w14:textId="77777777" w:rsidR="0019292F" w:rsidRPr="004328EF" w:rsidRDefault="0019292F" w:rsidP="0032669D">
              <w:pPr>
                <w:spacing w:after="0" w:line="240" w:lineRule="auto"/>
                <w:rPr>
                  <w:rFonts w:eastAsia="Times New Roman" w:cstheme="minorHAnsi"/>
                  <w:b/>
                  <w:bCs/>
                </w:rPr>
              </w:pPr>
              <w:r w:rsidRPr="004328EF">
                <w:rPr>
                  <w:rFonts w:eastAsia="Times New Roman" w:cstheme="minorHAnsi"/>
                  <w:b/>
                  <w:bCs/>
                </w:rPr>
                <w:t xml:space="preserve">Aprovado por: </w:t>
              </w:r>
            </w:p>
          </w:tc>
          <w:tc>
            <w:tcPr>
              <w:tcW w:w="1116" w:type="pct"/>
              <w:shd w:val="clear" w:color="FFFFCC" w:fill="FFFFFF"/>
              <w:noWrap/>
              <w:vAlign w:val="center"/>
              <w:hideMark/>
            </w:tcPr>
            <w:p w14:paraId="3C69FB73" w14:textId="5D2BFDA3" w:rsidR="0019292F" w:rsidRPr="004328EF" w:rsidRDefault="0019292F" w:rsidP="0032669D">
              <w:pPr>
                <w:spacing w:after="0" w:line="240" w:lineRule="auto"/>
                <w:rPr>
                  <w:rFonts w:eastAsia="Times New Roman" w:cstheme="minorHAnsi"/>
                </w:rPr>
              </w:pPr>
            </w:p>
          </w:tc>
          <w:tc>
            <w:tcPr>
              <w:tcW w:w="465" w:type="pct"/>
              <w:shd w:val="clear" w:color="FFFFCC" w:fill="FFFFFF"/>
              <w:vAlign w:val="center"/>
              <w:hideMark/>
            </w:tcPr>
            <w:p w14:paraId="3C69FB74" w14:textId="77777777" w:rsidR="0019292F" w:rsidRPr="009C24EC" w:rsidRDefault="0019292F" w:rsidP="0032669D">
              <w:pPr>
                <w:spacing w:after="0" w:line="240" w:lineRule="auto"/>
                <w:rPr>
                  <w:rFonts w:eastAsia="Times New Roman" w:cstheme="minorHAnsi"/>
                  <w:b/>
                  <w:bCs/>
                  <w:sz w:val="20"/>
                </w:rPr>
              </w:pPr>
              <w:r w:rsidRPr="009C24EC">
                <w:rPr>
                  <w:rFonts w:eastAsia="Times New Roman" w:cstheme="minorHAnsi"/>
                  <w:b/>
                  <w:bCs/>
                  <w:sz w:val="20"/>
                </w:rPr>
                <w:t xml:space="preserve">Página: </w:t>
              </w:r>
            </w:p>
          </w:tc>
          <w:tc>
            <w:tcPr>
              <w:tcW w:w="592" w:type="pct"/>
              <w:shd w:val="clear" w:color="FFFFCC" w:fill="FFFFFF"/>
              <w:vAlign w:val="center"/>
              <w:hideMark/>
            </w:tcPr>
            <w:p w14:paraId="3C69FB75" w14:textId="68F97766" w:rsidR="0019292F" w:rsidRPr="0073510D" w:rsidRDefault="0019292F" w:rsidP="006C1CBA">
              <w:pPr>
                <w:pStyle w:val="Cabealho"/>
              </w:pPr>
              <w:r w:rsidRPr="001B0AE8">
                <w:rPr>
                  <w:sz w:val="20"/>
                </w:rPr>
                <w:fldChar w:fldCharType="begin"/>
              </w:r>
              <w:r w:rsidRPr="001B0AE8">
                <w:rPr>
                  <w:sz w:val="20"/>
                </w:rPr>
                <w:instrText xml:space="preserve"> PAGE   \* MERGEFORMAT </w:instrText>
              </w:r>
              <w:r w:rsidRPr="001B0AE8">
                <w:rPr>
                  <w:sz w:val="20"/>
                </w:rPr>
                <w:fldChar w:fldCharType="separate"/>
              </w:r>
              <w:r w:rsidR="001978F5">
                <w:rPr>
                  <w:noProof/>
                  <w:sz w:val="20"/>
                </w:rPr>
                <w:t>1</w:t>
              </w:r>
              <w:r w:rsidRPr="001B0AE8">
                <w:rPr>
                  <w:noProof/>
                  <w:sz w:val="20"/>
                </w:rPr>
                <w:fldChar w:fldCharType="end"/>
              </w:r>
              <w:r w:rsidRPr="001B0AE8">
                <w:rPr>
                  <w:rFonts w:eastAsia="Times New Roman" w:cstheme="minorHAnsi"/>
                  <w:sz w:val="18"/>
                </w:rPr>
                <w:t xml:space="preserve"> </w:t>
              </w:r>
              <w:r>
                <w:rPr>
                  <w:rFonts w:eastAsia="Times New Roman" w:cstheme="minorHAnsi"/>
                  <w:sz w:val="20"/>
                </w:rPr>
                <w:t xml:space="preserve">de </w:t>
              </w:r>
              <w:r w:rsidR="006C1CBA">
                <w:rPr>
                  <w:rFonts w:eastAsia="Times New Roman" w:cstheme="minorHAnsi"/>
                  <w:sz w:val="20"/>
                </w:rPr>
                <w:t>1</w:t>
              </w:r>
            </w:p>
          </w:tc>
        </w:tr>
      </w:tbl>
    </w:sdtContent>
  </w:sdt>
  <w:p w14:paraId="3C69FB77" w14:textId="77777777" w:rsidR="0019292F" w:rsidRDefault="0019292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multilevel"/>
    <w:tmpl w:val="0264FA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88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800"/>
      </w:pPr>
      <w:rPr>
        <w:rFonts w:hint="default"/>
      </w:r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008CF"/>
    <w:rsid w:val="00036FA6"/>
    <w:rsid w:val="00037546"/>
    <w:rsid w:val="00064D09"/>
    <w:rsid w:val="00071FEB"/>
    <w:rsid w:val="00096C93"/>
    <w:rsid w:val="000B48BD"/>
    <w:rsid w:val="000B62D9"/>
    <w:rsid w:val="000C4554"/>
    <w:rsid w:val="000D4094"/>
    <w:rsid w:val="000E4972"/>
    <w:rsid w:val="000F4A96"/>
    <w:rsid w:val="00123A33"/>
    <w:rsid w:val="00136621"/>
    <w:rsid w:val="00142D33"/>
    <w:rsid w:val="00152276"/>
    <w:rsid w:val="001554CC"/>
    <w:rsid w:val="0019292F"/>
    <w:rsid w:val="001978F5"/>
    <w:rsid w:val="001A72F5"/>
    <w:rsid w:val="001B0AE8"/>
    <w:rsid w:val="001D714B"/>
    <w:rsid w:val="001E35F0"/>
    <w:rsid w:val="001F1E83"/>
    <w:rsid w:val="0022080B"/>
    <w:rsid w:val="00221532"/>
    <w:rsid w:val="0023343C"/>
    <w:rsid w:val="002437D0"/>
    <w:rsid w:val="00247DA3"/>
    <w:rsid w:val="00253B5D"/>
    <w:rsid w:val="00254757"/>
    <w:rsid w:val="00270AB0"/>
    <w:rsid w:val="0028510C"/>
    <w:rsid w:val="002952A5"/>
    <w:rsid w:val="002D167F"/>
    <w:rsid w:val="002D2138"/>
    <w:rsid w:val="002E0FF5"/>
    <w:rsid w:val="002F453C"/>
    <w:rsid w:val="00301D43"/>
    <w:rsid w:val="00317441"/>
    <w:rsid w:val="00317F77"/>
    <w:rsid w:val="0032669D"/>
    <w:rsid w:val="0035658D"/>
    <w:rsid w:val="00387CF2"/>
    <w:rsid w:val="003965CF"/>
    <w:rsid w:val="003C7B47"/>
    <w:rsid w:val="003D0CE1"/>
    <w:rsid w:val="0040424A"/>
    <w:rsid w:val="004267D0"/>
    <w:rsid w:val="004328EF"/>
    <w:rsid w:val="00440F5F"/>
    <w:rsid w:val="004519A2"/>
    <w:rsid w:val="00451EDA"/>
    <w:rsid w:val="004539DA"/>
    <w:rsid w:val="004666DD"/>
    <w:rsid w:val="0047511D"/>
    <w:rsid w:val="004D6766"/>
    <w:rsid w:val="005134E4"/>
    <w:rsid w:val="00525379"/>
    <w:rsid w:val="00547F2D"/>
    <w:rsid w:val="0055380C"/>
    <w:rsid w:val="00582349"/>
    <w:rsid w:val="00582E1D"/>
    <w:rsid w:val="00586101"/>
    <w:rsid w:val="00587FEA"/>
    <w:rsid w:val="005A17AD"/>
    <w:rsid w:val="005B098E"/>
    <w:rsid w:val="005D006F"/>
    <w:rsid w:val="005D250E"/>
    <w:rsid w:val="005F5E3E"/>
    <w:rsid w:val="0060388F"/>
    <w:rsid w:val="0060657E"/>
    <w:rsid w:val="006208EB"/>
    <w:rsid w:val="006321DB"/>
    <w:rsid w:val="00637B64"/>
    <w:rsid w:val="006719EC"/>
    <w:rsid w:val="006901BE"/>
    <w:rsid w:val="00691E53"/>
    <w:rsid w:val="00696730"/>
    <w:rsid w:val="006C1CBA"/>
    <w:rsid w:val="006C323A"/>
    <w:rsid w:val="006D4FEB"/>
    <w:rsid w:val="006D6FE2"/>
    <w:rsid w:val="006D7517"/>
    <w:rsid w:val="007021BF"/>
    <w:rsid w:val="007140ED"/>
    <w:rsid w:val="00717AB7"/>
    <w:rsid w:val="00720305"/>
    <w:rsid w:val="00722C2E"/>
    <w:rsid w:val="0073510D"/>
    <w:rsid w:val="00744D36"/>
    <w:rsid w:val="0075347B"/>
    <w:rsid w:val="00756A8E"/>
    <w:rsid w:val="007762D3"/>
    <w:rsid w:val="007B2588"/>
    <w:rsid w:val="007B27EC"/>
    <w:rsid w:val="007C07B8"/>
    <w:rsid w:val="00844E7C"/>
    <w:rsid w:val="0085207A"/>
    <w:rsid w:val="00853C93"/>
    <w:rsid w:val="00875E7B"/>
    <w:rsid w:val="00884677"/>
    <w:rsid w:val="008B3501"/>
    <w:rsid w:val="008C6C36"/>
    <w:rsid w:val="008E058C"/>
    <w:rsid w:val="00905E30"/>
    <w:rsid w:val="00917904"/>
    <w:rsid w:val="009418DD"/>
    <w:rsid w:val="009454A2"/>
    <w:rsid w:val="009531B1"/>
    <w:rsid w:val="009C24EC"/>
    <w:rsid w:val="009C7B45"/>
    <w:rsid w:val="009E10D4"/>
    <w:rsid w:val="00A32F81"/>
    <w:rsid w:val="00A36958"/>
    <w:rsid w:val="00A400C6"/>
    <w:rsid w:val="00A76440"/>
    <w:rsid w:val="00A8040A"/>
    <w:rsid w:val="00A863BD"/>
    <w:rsid w:val="00AB26D5"/>
    <w:rsid w:val="00AD2BFF"/>
    <w:rsid w:val="00AE1951"/>
    <w:rsid w:val="00B019F4"/>
    <w:rsid w:val="00B030BF"/>
    <w:rsid w:val="00B06927"/>
    <w:rsid w:val="00B132A2"/>
    <w:rsid w:val="00B530C3"/>
    <w:rsid w:val="00B77484"/>
    <w:rsid w:val="00BA1A1F"/>
    <w:rsid w:val="00BC20A0"/>
    <w:rsid w:val="00BC5D7A"/>
    <w:rsid w:val="00BF1DE6"/>
    <w:rsid w:val="00C53B0C"/>
    <w:rsid w:val="00C56018"/>
    <w:rsid w:val="00C73B85"/>
    <w:rsid w:val="00C93CD4"/>
    <w:rsid w:val="00CA0D5D"/>
    <w:rsid w:val="00CA2CFC"/>
    <w:rsid w:val="00CA57F0"/>
    <w:rsid w:val="00CD38D5"/>
    <w:rsid w:val="00D05989"/>
    <w:rsid w:val="00D10625"/>
    <w:rsid w:val="00D11A80"/>
    <w:rsid w:val="00D20703"/>
    <w:rsid w:val="00D37460"/>
    <w:rsid w:val="00D423D8"/>
    <w:rsid w:val="00D464E8"/>
    <w:rsid w:val="00D50872"/>
    <w:rsid w:val="00D52C29"/>
    <w:rsid w:val="00D664A7"/>
    <w:rsid w:val="00D830D1"/>
    <w:rsid w:val="00D904AE"/>
    <w:rsid w:val="00DB3D19"/>
    <w:rsid w:val="00DC2D80"/>
    <w:rsid w:val="00DC614C"/>
    <w:rsid w:val="00DD788D"/>
    <w:rsid w:val="00DD79F6"/>
    <w:rsid w:val="00E02235"/>
    <w:rsid w:val="00E06224"/>
    <w:rsid w:val="00E22BD3"/>
    <w:rsid w:val="00E31E59"/>
    <w:rsid w:val="00E37E98"/>
    <w:rsid w:val="00E51C59"/>
    <w:rsid w:val="00E80FAE"/>
    <w:rsid w:val="00E840B9"/>
    <w:rsid w:val="00ED31D2"/>
    <w:rsid w:val="00EF3B1C"/>
    <w:rsid w:val="00F04D2E"/>
    <w:rsid w:val="00F13558"/>
    <w:rsid w:val="00F2352A"/>
    <w:rsid w:val="00F3766D"/>
    <w:rsid w:val="00F81631"/>
    <w:rsid w:val="00FA6AAB"/>
    <w:rsid w:val="00FD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9FB31"/>
  <w15:docId w15:val="{472A2952-B833-46AA-883D-3D2FBC863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64A7"/>
  </w:style>
  <w:style w:type="paragraph" w:styleId="Rodap">
    <w:name w:val="footer"/>
    <w:basedOn w:val="Normal"/>
    <w:link w:val="RodapChar"/>
    <w:uiPriority w:val="99"/>
    <w:unhideWhenUsed/>
    <w:rsid w:val="00D6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64A7"/>
  </w:style>
  <w:style w:type="paragraph" w:styleId="NormalWeb">
    <w:name w:val="Normal (Web)"/>
    <w:basedOn w:val="Normal"/>
    <w:uiPriority w:val="99"/>
    <w:semiHidden/>
    <w:unhideWhenUsed/>
    <w:rsid w:val="009E1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A6810-1039-4D0B-B169-A82998024A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56A301-AFB0-4DF7-A99E-B61B63247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FABCAC-6648-4588-A723-9023C8CD91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9FB043-8F4C-4D50-BB02-48D4C6573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425</Words>
  <Characters>2299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8</cp:revision>
  <dcterms:created xsi:type="dcterms:W3CDTF">2012-09-12T19:52:00Z</dcterms:created>
  <dcterms:modified xsi:type="dcterms:W3CDTF">2023-08-03T16:40:00Z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